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rFonts w:ascii="Times New Roman" w:hAnsi="Times New Roman" w:cs="Times New Roman"/>
          <w:b/>
          <w:b/>
          <w:bCs/>
          <w:lang w:val="en-US"/>
        </w:rPr>
      </w:pPr>
      <w:r>
        <w:rPr>
          <w:rFonts w:cs="Times New Roman" w:ascii="Times New Roman" w:hAnsi="Times New Roman"/>
          <w:b/>
          <w:bCs/>
        </w:rPr>
        <w:t>ТЕХНИЧЕСКОЕ ЗАДАНИЕ №</w:t>
      </w:r>
      <w:r>
        <w:rPr>
          <w:rFonts w:cs="Times New Roman" w:ascii="Times New Roman" w:hAnsi="Times New Roman"/>
          <w:b/>
          <w:bCs/>
          <w:lang w:val="ru-RU"/>
        </w:rPr>
        <w:t xml:space="preserve">1 </w:t>
      </w:r>
    </w:p>
    <w:p>
      <w:pPr>
        <w:pStyle w:val="Normal"/>
        <w:jc w:val="center"/>
        <w:rPr>
          <w:rFonts w:ascii="Times New Roman" w:hAnsi="Times New Roman" w:cs="Times New Roman"/>
          <w:b/>
          <w:b/>
          <w:bCs/>
        </w:rPr>
      </w:pPr>
      <w:r>
        <w:rPr>
          <w:rFonts w:cs="Times New Roman" w:ascii="Times New Roman" w:hAnsi="Times New Roman"/>
          <w:b/>
          <w:bCs/>
        </w:rPr>
        <w:t>на закупку  трансформатора для нужд ООО “ЭНСИ» в г. Краснодар</w:t>
      </w:r>
    </w:p>
    <w:p>
      <w:pPr>
        <w:pStyle w:val="Style19"/>
        <w:tabs>
          <w:tab w:val="clear" w:pos="709"/>
          <w:tab w:val="left" w:pos="1545" w:leader="none"/>
          <w:tab w:val="center" w:pos="4677" w:leader="none"/>
        </w:tabs>
        <w:jc w:val="left"/>
        <w:rPr>
          <w:b/>
          <w:b/>
          <w:bCs/>
          <w:sz w:val="22"/>
          <w:szCs w:val="22"/>
          <w:lang w:val="ru-RU"/>
        </w:rPr>
      </w:pPr>
      <w:r>
        <w:rPr>
          <w:b/>
          <w:bCs/>
          <w:sz w:val="22"/>
          <w:szCs w:val="22"/>
          <w:lang w:val="ru-RU"/>
        </w:rPr>
        <w:t>г. Краснодар                                                                                                                         22.07.2024 г.</w:t>
      </w:r>
    </w:p>
    <w:p>
      <w:pPr>
        <w:pStyle w:val="Normal"/>
        <w:numPr>
          <w:ilvl w:val="0"/>
          <w:numId w:val="1"/>
        </w:numPr>
        <w:spacing w:lineRule="auto" w:line="240" w:before="0" w:after="0"/>
        <w:jc w:val="both"/>
        <w:rPr>
          <w:rFonts w:ascii="Times New Roman" w:hAnsi="Times New Roman" w:cs="Times New Roman"/>
          <w:b/>
          <w:b/>
          <w:bCs/>
        </w:rPr>
      </w:pPr>
      <w:r>
        <w:rPr>
          <w:rFonts w:cs="Times New Roman" w:ascii="Times New Roman" w:hAnsi="Times New Roman"/>
          <w:b/>
          <w:bCs/>
        </w:rPr>
        <w:t>Общие требования к условиям предоставления Продукции.</w:t>
      </w:r>
    </w:p>
    <w:p>
      <w:pPr>
        <w:pStyle w:val="Style19"/>
        <w:numPr>
          <w:ilvl w:val="1"/>
          <w:numId w:val="1"/>
        </w:numPr>
        <w:tabs>
          <w:tab w:val="clear" w:pos="709"/>
          <w:tab w:val="left" w:pos="993" w:leader="none"/>
        </w:tabs>
        <w:ind w:left="142" w:firstLine="567"/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По заказу ООО “ЭНСИ» поставщик поставляет </w:t>
      </w:r>
      <w:r>
        <w:rPr>
          <w:b/>
          <w:sz w:val="22"/>
          <w:szCs w:val="22"/>
          <w:lang w:val="ru-RU"/>
        </w:rPr>
        <w:t xml:space="preserve">трансформатор </w:t>
      </w:r>
      <w:r>
        <w:rPr>
          <w:sz w:val="22"/>
          <w:szCs w:val="22"/>
          <w:lang w:val="ru-RU"/>
        </w:rPr>
        <w:t>(далее -  Продукция).</w:t>
      </w:r>
    </w:p>
    <w:p>
      <w:pPr>
        <w:pStyle w:val="Style19"/>
        <w:numPr>
          <w:ilvl w:val="1"/>
          <w:numId w:val="1"/>
        </w:numPr>
        <w:tabs>
          <w:tab w:val="clear" w:pos="709"/>
          <w:tab w:val="left" w:pos="0" w:leader="none"/>
          <w:tab w:val="left" w:pos="1276" w:leader="none"/>
        </w:tabs>
        <w:ind w:left="100" w:firstLine="600"/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Поставляемая Продукция должна быть новой, прежде неиспользуемой, производства не ранее 2024 года, и по своим техническим характеристикам соответствовать требованиям, указанным в п.3.</w:t>
      </w:r>
    </w:p>
    <w:p>
      <w:pPr>
        <w:pStyle w:val="Style19"/>
        <w:numPr>
          <w:ilvl w:val="1"/>
          <w:numId w:val="1"/>
        </w:numPr>
        <w:tabs>
          <w:tab w:val="clear" w:pos="709"/>
          <w:tab w:val="left" w:pos="0" w:leader="none"/>
          <w:tab w:val="left" w:pos="1276" w:leader="none"/>
          <w:tab w:val="left" w:pos="1611" w:leader="none"/>
        </w:tabs>
        <w:ind w:left="100" w:firstLine="600"/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Техническая документация (паспорт, руководство по эксплуатации, сертификаты и т.п.) должна быть выполнена на русском языке.</w:t>
      </w:r>
    </w:p>
    <w:p>
      <w:pPr>
        <w:pStyle w:val="Style19"/>
        <w:numPr>
          <w:ilvl w:val="1"/>
          <w:numId w:val="1"/>
        </w:numPr>
        <w:tabs>
          <w:tab w:val="clear" w:pos="709"/>
          <w:tab w:val="left" w:pos="0" w:leader="none"/>
          <w:tab w:val="left" w:pos="1276" w:leader="none"/>
          <w:tab w:val="left" w:pos="1611" w:leader="none"/>
        </w:tabs>
        <w:ind w:left="100" w:firstLine="600"/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Поставка Продукции осуществляется транспортом Поставщика </w:t>
      </w:r>
      <w:r>
        <w:rPr>
          <w:rFonts w:eastAsia="Times New Roman" w:cs="Times New Roman"/>
          <w:sz w:val="22"/>
          <w:szCs w:val="22"/>
          <w:lang w:val="ru-RU"/>
        </w:rPr>
        <w:t>по адресу г. Краснодар, ул. Героев Разведчиков, 6/1.</w:t>
      </w:r>
    </w:p>
    <w:p>
      <w:pPr>
        <w:pStyle w:val="Style19"/>
        <w:tabs>
          <w:tab w:val="clear" w:pos="709"/>
          <w:tab w:val="left" w:pos="1276" w:leader="none"/>
          <w:tab w:val="left" w:pos="1753" w:leader="none"/>
        </w:tabs>
        <w:ind w:left="700" w:hanging="0"/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</w:r>
    </w:p>
    <w:p>
      <w:pPr>
        <w:pStyle w:val="Normal"/>
        <w:numPr>
          <w:ilvl w:val="0"/>
          <w:numId w:val="1"/>
        </w:numPr>
        <w:spacing w:lineRule="auto" w:line="240" w:before="0" w:after="0"/>
        <w:jc w:val="both"/>
        <w:rPr>
          <w:rFonts w:ascii="Times New Roman" w:hAnsi="Times New Roman" w:cs="Times New Roman"/>
          <w:b/>
          <w:b/>
          <w:bCs/>
        </w:rPr>
      </w:pPr>
      <w:r>
        <w:rPr>
          <w:rFonts w:cs="Times New Roman" w:ascii="Times New Roman" w:hAnsi="Times New Roman"/>
          <w:b/>
          <w:bCs/>
        </w:rPr>
        <w:t>Объемы и сроки поставок</w:t>
      </w:r>
    </w:p>
    <w:tbl>
      <w:tblPr>
        <w:tblStyle w:val="24"/>
        <w:tblW w:w="9497" w:type="dxa"/>
        <w:jc w:val="left"/>
        <w:tblInd w:w="25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541"/>
        <w:gridCol w:w="2152"/>
        <w:gridCol w:w="1507"/>
        <w:gridCol w:w="965"/>
        <w:gridCol w:w="1475"/>
        <w:gridCol w:w="625"/>
        <w:gridCol w:w="851"/>
        <w:gridCol w:w="1379"/>
      </w:tblGrid>
      <w:tr>
        <w:trPr>
          <w:trHeight w:val="652" w:hRule="atLeast"/>
        </w:trPr>
        <w:tc>
          <w:tcPr>
            <w:tcW w:w="541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п/п</w:t>
            </w:r>
          </w:p>
        </w:tc>
        <w:tc>
          <w:tcPr>
            <w:tcW w:w="2152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Наименование изделия</w:t>
            </w:r>
          </w:p>
        </w:tc>
        <w:tc>
          <w:tcPr>
            <w:tcW w:w="1507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ГОСТ, ТУ</w:t>
            </w:r>
          </w:p>
        </w:tc>
        <w:tc>
          <w:tcPr>
            <w:tcW w:w="965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Код ОКВЭД 2</w:t>
            </w:r>
          </w:p>
        </w:tc>
        <w:tc>
          <w:tcPr>
            <w:tcW w:w="1475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Код ОКП</w:t>
            </w:r>
          </w:p>
        </w:tc>
        <w:tc>
          <w:tcPr>
            <w:tcW w:w="625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Ед. изм</w:t>
            </w:r>
          </w:p>
        </w:tc>
        <w:tc>
          <w:tcPr>
            <w:tcW w:w="851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Кол-во</w:t>
            </w:r>
          </w:p>
        </w:tc>
        <w:tc>
          <w:tcPr>
            <w:tcW w:w="137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Срок поставки (период)</w:t>
            </w:r>
          </w:p>
        </w:tc>
      </w:tr>
      <w:tr>
        <w:trPr>
          <w:trHeight w:val="20" w:hRule="atLeast"/>
        </w:trPr>
        <w:tc>
          <w:tcPr>
            <w:tcW w:w="541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1</w:t>
            </w:r>
          </w:p>
        </w:tc>
        <w:tc>
          <w:tcPr>
            <w:tcW w:w="2152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 xml:space="preserve">Трансформатор </w:t>
            </w:r>
            <w:r>
              <w:rPr>
                <w:rFonts w:eastAsia="Calibri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ТМГ</w:t>
            </w:r>
            <w:r>
              <w:rPr>
                <w:rFonts w:eastAsia="Calibri" w:cs="Tms Rmn" w:ascii="Tms Rmn" w:hAnsi="Tms Rmn"/>
                <w:color w:val="000000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rFonts w:eastAsia="Calibri" w:cs="Tms Rmn"/>
                <w:color w:val="000000"/>
                <w:kern w:val="0"/>
                <w:sz w:val="20"/>
                <w:szCs w:val="20"/>
                <w:lang w:val="ru-RU" w:eastAsia="ru-RU" w:bidi="ar-SA"/>
              </w:rPr>
              <w:t>-</w:t>
            </w:r>
            <w:r>
              <w:rPr>
                <w:rFonts w:eastAsia="Calibri" w:cs="Tms Rmn" w:ascii="Tms Rmn" w:hAnsi="Tms Rmn"/>
                <w:color w:val="000000"/>
                <w:kern w:val="0"/>
                <w:sz w:val="20"/>
                <w:szCs w:val="20"/>
                <w:lang w:val="ru-RU" w:eastAsia="ru-RU" w:bidi="ar-SA"/>
              </w:rPr>
              <w:t xml:space="preserve">1000/10/0,4 </w:t>
            </w:r>
            <w:r>
              <w:rPr>
                <w:rFonts w:eastAsia="" w:cs="Times New Roman" w:ascii="Times New Roman" w:hAnsi="Times New Roman"/>
                <w:color w:val="000000"/>
                <w:kern w:val="0"/>
                <w:sz w:val="22"/>
                <w:szCs w:val="22"/>
                <w:lang w:val="en-US" w:eastAsia="ru-RU" w:bidi="ar-SA"/>
              </w:rPr>
              <w:t>D</w:t>
            </w:r>
            <w:r>
              <w:rPr>
                <w:rFonts w:eastAsia="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/Yн-11</w:t>
            </w:r>
          </w:p>
        </w:tc>
        <w:tc>
          <w:tcPr>
            <w:tcW w:w="1507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ГОСТ Р 52719-2007</w:t>
            </w:r>
          </w:p>
        </w:tc>
        <w:tc>
          <w:tcPr>
            <w:tcW w:w="965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27.11</w:t>
            </w:r>
          </w:p>
        </w:tc>
        <w:tc>
          <w:tcPr>
            <w:tcW w:w="1475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27.11.43.000</w:t>
            </w:r>
          </w:p>
        </w:tc>
        <w:tc>
          <w:tcPr>
            <w:tcW w:w="625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шт</w:t>
            </w:r>
          </w:p>
        </w:tc>
        <w:tc>
          <w:tcPr>
            <w:tcW w:w="851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1</w:t>
            </w:r>
          </w:p>
        </w:tc>
        <w:tc>
          <w:tcPr>
            <w:tcW w:w="1379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июль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20</w:t>
            </w: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en-US" w:eastAsia="ru-RU" w:bidi="ar-SA"/>
              </w:rPr>
              <w:t>24</w:t>
            </w: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 xml:space="preserve"> г.</w:t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bCs/>
        </w:rPr>
      </w:pPr>
      <w:r>
        <w:rPr>
          <w:rFonts w:cs="Times New Roman" w:ascii="Times New Roman" w:hAnsi="Times New Roman"/>
          <w:b/>
          <w:bCs/>
        </w:rPr>
      </w:r>
    </w:p>
    <w:p>
      <w:pPr>
        <w:pStyle w:val="Normal"/>
        <w:numPr>
          <w:ilvl w:val="0"/>
          <w:numId w:val="1"/>
        </w:numPr>
        <w:spacing w:lineRule="auto" w:line="240" w:before="0" w:after="0"/>
        <w:jc w:val="both"/>
        <w:rPr>
          <w:rFonts w:ascii="Times New Roman" w:hAnsi="Times New Roman" w:cs="Times New Roman"/>
          <w:b/>
          <w:b/>
          <w:bCs/>
        </w:rPr>
      </w:pPr>
      <w:r>
        <w:rPr>
          <w:rFonts w:cs="Times New Roman" w:ascii="Times New Roman" w:hAnsi="Times New Roman"/>
          <w:b/>
          <w:bCs/>
        </w:rPr>
        <w:t>Технические требования</w:t>
      </w:r>
    </w:p>
    <w:p>
      <w:pPr>
        <w:pStyle w:val="Style19"/>
        <w:numPr>
          <w:ilvl w:val="1"/>
          <w:numId w:val="1"/>
        </w:numPr>
        <w:tabs>
          <w:tab w:val="clear" w:pos="709"/>
          <w:tab w:val="left" w:pos="0" w:leader="none"/>
          <w:tab w:val="left" w:pos="1276" w:leader="none"/>
        </w:tabs>
        <w:ind w:left="100" w:firstLine="600"/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Поставляемая Продукция должна соответствовать требованиям  ГОСТ Р 52719-2007.</w:t>
      </w:r>
    </w:p>
    <w:p>
      <w:pPr>
        <w:pStyle w:val="Style19"/>
        <w:numPr>
          <w:ilvl w:val="1"/>
          <w:numId w:val="1"/>
        </w:numPr>
        <w:tabs>
          <w:tab w:val="clear" w:pos="709"/>
          <w:tab w:val="left" w:pos="0" w:leader="none"/>
          <w:tab w:val="left" w:pos="1276" w:leader="none"/>
        </w:tabs>
        <w:ind w:left="100" w:firstLine="600"/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</w:t>
      </w:r>
      <w:r>
        <w:rPr>
          <w:sz w:val="22"/>
          <w:szCs w:val="22"/>
          <w:lang w:val="ru-RU"/>
        </w:rPr>
        <w:t xml:space="preserve">Продукция по своим характеристикам должна соответствовать всем требованиям приложения №1.  </w:t>
      </w:r>
    </w:p>
    <w:p>
      <w:pPr>
        <w:pStyle w:val="Style19"/>
        <w:numPr>
          <w:ilvl w:val="1"/>
          <w:numId w:val="1"/>
        </w:numPr>
        <w:tabs>
          <w:tab w:val="clear" w:pos="709"/>
          <w:tab w:val="left" w:pos="0" w:leader="none"/>
          <w:tab w:val="left" w:pos="1276" w:leader="none"/>
        </w:tabs>
        <w:ind w:left="100" w:firstLine="600"/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На поставляемой Продукции должна быть отчетливо видна маркировка, содержащая:</w:t>
      </w:r>
    </w:p>
    <w:p>
      <w:pPr>
        <w:pStyle w:val="Style19"/>
        <w:tabs>
          <w:tab w:val="clear" w:pos="709"/>
          <w:tab w:val="left" w:pos="1276" w:leader="none"/>
        </w:tabs>
        <w:ind w:left="700" w:hanging="0"/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- товарный знак предприятия-изготовителя;</w:t>
      </w:r>
    </w:p>
    <w:p>
      <w:pPr>
        <w:pStyle w:val="Style19"/>
        <w:tabs>
          <w:tab w:val="clear" w:pos="709"/>
          <w:tab w:val="left" w:pos="1276" w:leader="none"/>
        </w:tabs>
        <w:ind w:left="568" w:hanging="0"/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 </w:t>
      </w:r>
      <w:r>
        <w:rPr>
          <w:sz w:val="22"/>
          <w:szCs w:val="22"/>
          <w:lang w:val="ru-RU"/>
        </w:rPr>
        <w:t>- условное обозначение;</w:t>
      </w:r>
    </w:p>
    <w:p>
      <w:pPr>
        <w:pStyle w:val="Style19"/>
        <w:tabs>
          <w:tab w:val="clear" w:pos="709"/>
          <w:tab w:val="left" w:pos="1276" w:leader="none"/>
        </w:tabs>
        <w:ind w:left="700" w:hanging="0"/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- год выпуска;</w:t>
      </w:r>
    </w:p>
    <w:p>
      <w:pPr>
        <w:pStyle w:val="Style19"/>
        <w:tabs>
          <w:tab w:val="clear" w:pos="709"/>
          <w:tab w:val="left" w:pos="1276" w:leader="none"/>
        </w:tabs>
        <w:ind w:left="700" w:hanging="0"/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- технические характеристики.</w:t>
      </w:r>
    </w:p>
    <w:p>
      <w:pPr>
        <w:pStyle w:val="Style19"/>
        <w:numPr>
          <w:ilvl w:val="1"/>
          <w:numId w:val="1"/>
        </w:numPr>
        <w:ind w:left="100" w:firstLine="600"/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По всем видам оборудования Поставщик должен предоставить полный комплект технической и эксплуатационной документации на русском языке, подготовленной в соответствии с ГОСТ 34.601-90, ГОСТ 27300-87,   ГОСТ 2.601-2019, по монтажу, наладке, пуску, сдаче в эксплуатацию, обеспечению правильной и безопасной эксплуатации, технического обслуживания поставляемой Продукции.</w:t>
      </w:r>
    </w:p>
    <w:p>
      <w:pPr>
        <w:pStyle w:val="Style19"/>
        <w:ind w:left="142" w:firstLine="1276"/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Предоставляемая Поставщиком техническая и эксплуатационная документация на продукцию должна включать:</w:t>
      </w:r>
    </w:p>
    <w:p>
      <w:pPr>
        <w:pStyle w:val="Style19"/>
        <w:ind w:left="142" w:firstLine="1276"/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- техническое описание;</w:t>
      </w:r>
    </w:p>
    <w:p>
      <w:pPr>
        <w:pStyle w:val="Style19"/>
        <w:ind w:left="142" w:firstLine="1276"/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- каталог деталей и сборочных чертежей;</w:t>
      </w:r>
    </w:p>
    <w:p>
      <w:pPr>
        <w:pStyle w:val="Style19"/>
        <w:ind w:left="142" w:firstLine="1276"/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- инструкция   по  монтажу,  наладке,  пуску,  и  сдаче    оборудования  в эксплуатацию;</w:t>
      </w:r>
    </w:p>
    <w:p>
      <w:pPr>
        <w:pStyle w:val="Style19"/>
        <w:ind w:left="142" w:firstLine="1276"/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- руководство по эксплуатации;</w:t>
      </w:r>
    </w:p>
    <w:p>
      <w:pPr>
        <w:pStyle w:val="Style19"/>
        <w:ind w:left="142" w:firstLine="1276"/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- формуляр;</w:t>
      </w:r>
    </w:p>
    <w:p>
      <w:pPr>
        <w:pStyle w:val="Style19"/>
        <w:ind w:left="142" w:firstLine="1276"/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- паспорт;</w:t>
      </w:r>
    </w:p>
    <w:p>
      <w:pPr>
        <w:pStyle w:val="Style19"/>
        <w:ind w:left="142" w:firstLine="1276"/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- этикетка;</w:t>
      </w:r>
    </w:p>
    <w:p>
      <w:pPr>
        <w:pStyle w:val="Style19"/>
        <w:ind w:left="142" w:firstLine="1276"/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- ведомость эксплуатационных документов.</w:t>
      </w:r>
    </w:p>
    <w:p>
      <w:pPr>
        <w:pStyle w:val="Style19"/>
        <w:ind w:left="1069" w:hanging="0"/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numPr>
          <w:ilvl w:val="0"/>
          <w:numId w:val="1"/>
        </w:numPr>
        <w:spacing w:lineRule="auto" w:line="240" w:before="0" w:after="0"/>
        <w:jc w:val="both"/>
        <w:rPr>
          <w:rFonts w:ascii="Times New Roman" w:hAnsi="Times New Roman" w:cs="Times New Roman"/>
          <w:b/>
          <w:b/>
          <w:bCs/>
        </w:rPr>
      </w:pPr>
      <w:r>
        <w:rPr>
          <w:rFonts w:cs="Times New Roman" w:ascii="Times New Roman" w:hAnsi="Times New Roman"/>
          <w:b/>
          <w:bCs/>
        </w:rPr>
        <w:t>Правила приемки продукции</w:t>
      </w:r>
    </w:p>
    <w:p>
      <w:pPr>
        <w:pStyle w:val="Normal"/>
        <w:spacing w:lineRule="auto" w:line="240" w:before="0" w:after="0"/>
        <w:ind w:firstLine="70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Приемка Продукции осуществляется представителем Заказчика в порядке и на условиях подписанного Договора.</w:t>
      </w:r>
    </w:p>
    <w:p>
      <w:pPr>
        <w:pStyle w:val="Normal"/>
        <w:spacing w:lineRule="auto" w:line="240" w:before="0" w:after="0"/>
        <w:ind w:firstLine="70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Транспортировка Продукции должна предотвратить ее повреждение или порчу во время перевозки. </w:t>
      </w:r>
    </w:p>
    <w:p>
      <w:pPr>
        <w:pStyle w:val="Normal"/>
        <w:spacing w:lineRule="auto" w:line="240" w:before="0" w:after="0"/>
        <w:ind w:firstLine="70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Продукция, не удовлетворяющая требованиям настоящего технического задания, заменяется поставщиком за свой счет. </w:t>
      </w:r>
    </w:p>
    <w:p>
      <w:pPr>
        <w:pStyle w:val="Normal"/>
        <w:spacing w:lineRule="auto" w:line="240" w:before="0" w:after="0"/>
        <w:ind w:firstLine="70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numPr>
          <w:ilvl w:val="0"/>
          <w:numId w:val="1"/>
        </w:numPr>
        <w:spacing w:lineRule="auto" w:line="240" w:before="0" w:after="0"/>
        <w:jc w:val="both"/>
        <w:rPr>
          <w:rFonts w:ascii="Times New Roman" w:hAnsi="Times New Roman" w:cs="Times New Roman"/>
          <w:b/>
          <w:b/>
          <w:bCs/>
        </w:rPr>
      </w:pPr>
      <w:r>
        <w:rPr>
          <w:rFonts w:cs="Times New Roman" w:ascii="Times New Roman" w:hAnsi="Times New Roman"/>
          <w:b/>
          <w:bCs/>
        </w:rPr>
        <w:t xml:space="preserve"> </w:t>
      </w:r>
      <w:r>
        <w:rPr>
          <w:rFonts w:cs="Times New Roman" w:ascii="Times New Roman" w:hAnsi="Times New Roman"/>
          <w:b/>
          <w:bCs/>
        </w:rPr>
        <w:t>Сроки поставки</w:t>
      </w:r>
    </w:p>
    <w:p>
      <w:pPr>
        <w:pStyle w:val="Normal"/>
        <w:spacing w:lineRule="auto" w:line="240" w:before="0" w:after="0"/>
        <w:ind w:left="1069" w:hanging="360"/>
        <w:jc w:val="both"/>
        <w:rPr>
          <w:rFonts w:ascii="Times New Roman" w:hAnsi="Times New Roman" w:cs="Times New Roman"/>
          <w:bCs/>
        </w:rPr>
      </w:pPr>
      <w:r>
        <w:rPr>
          <w:rFonts w:cs="Times New Roman" w:ascii="Times New Roman" w:hAnsi="Times New Roman"/>
          <w:bCs/>
        </w:rPr>
        <w:t xml:space="preserve">Ориентировочный срок поставки:  </w:t>
      </w:r>
      <w:r>
        <w:rPr>
          <w:rFonts w:cs="Times New Roman" w:ascii="Times New Roman" w:hAnsi="Times New Roman"/>
          <w:b/>
          <w:bCs/>
        </w:rPr>
        <w:t>июль  2024</w:t>
      </w:r>
      <w:r>
        <w:rPr>
          <w:rFonts w:cs="Times New Roman" w:ascii="Times New Roman" w:hAnsi="Times New Roman"/>
          <w:b/>
        </w:rPr>
        <w:t>г.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Конкретные сроки поставки Продукции устанавливаются договором с поставщиком.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240" w:before="0" w:after="0"/>
        <w:ind w:hanging="0"/>
        <w:jc w:val="both"/>
        <w:rPr/>
      </w:pPr>
      <w:r>
        <w:rPr/>
      </w:r>
    </w:p>
    <w:p>
      <w:pPr>
        <w:pStyle w:val="Normal"/>
        <w:spacing w:lineRule="auto" w:line="240" w:before="0" w:after="0"/>
        <w:ind w:left="1069" w:hanging="360"/>
        <w:jc w:val="both"/>
        <w:rPr>
          <w:rFonts w:ascii="Times New Roman" w:hAnsi="Times New Roman" w:cs="Times New Roman"/>
          <w:b/>
          <w:b/>
          <w:bCs/>
        </w:rPr>
      </w:pPr>
      <w:r>
        <w:rPr>
          <w:rFonts w:cs="Times New Roman" w:ascii="Times New Roman" w:hAnsi="Times New Roman"/>
          <w:b/>
          <w:bCs/>
        </w:rPr>
      </w:r>
    </w:p>
    <w:p>
      <w:pPr>
        <w:pStyle w:val="Normal"/>
        <w:numPr>
          <w:ilvl w:val="0"/>
          <w:numId w:val="1"/>
        </w:numPr>
        <w:spacing w:lineRule="auto" w:line="240" w:before="0" w:after="0"/>
        <w:jc w:val="both"/>
        <w:rPr>
          <w:rFonts w:ascii="Times New Roman" w:hAnsi="Times New Roman" w:cs="Times New Roman"/>
          <w:b/>
          <w:b/>
          <w:bCs/>
        </w:rPr>
      </w:pPr>
      <w:r>
        <w:rPr>
          <w:rFonts w:cs="Times New Roman" w:ascii="Times New Roman" w:hAnsi="Times New Roman"/>
          <w:b/>
          <w:bCs/>
        </w:rPr>
        <w:t>Стоимость и условия оплаты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Cs/>
        </w:rPr>
      </w:pPr>
      <w:r>
        <w:rPr>
          <w:rFonts w:cs="Times New Roman" w:ascii="Times New Roman" w:hAnsi="Times New Roman"/>
          <w:bCs/>
        </w:rPr>
        <w:t xml:space="preserve">              </w:t>
      </w:r>
      <w:r>
        <w:rPr>
          <w:rFonts w:cs="Times New Roman" w:ascii="Times New Roman" w:hAnsi="Times New Roman"/>
          <w:bCs/>
        </w:rPr>
        <w:t xml:space="preserve">Плановая стоимость поставки  Продукции составляет </w:t>
      </w:r>
      <w:r>
        <w:rPr>
          <w:rFonts w:cs="Times New Roman" w:ascii="Times New Roman" w:hAnsi="Times New Roman"/>
          <w:b/>
          <w:bCs/>
        </w:rPr>
        <w:t>933 220,39 рублей (девятьсот тридцать три тысячи  двести двадцать рублей 39 копеек с НДС 20%)</w:t>
      </w:r>
      <w:r>
        <w:rPr>
          <w:rFonts w:cs="Times New Roman" w:ascii="Times New Roman" w:hAnsi="Times New Roman"/>
          <w:bCs/>
        </w:rPr>
        <w:t>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Cs/>
        </w:rPr>
      </w:pPr>
      <w:r>
        <w:rPr>
          <w:rFonts w:cs="Times New Roman" w:ascii="Times New Roman" w:hAnsi="Times New Roman"/>
          <w:bCs/>
        </w:rPr>
        <w:t xml:space="preserve"> </w:t>
      </w:r>
      <w:r>
        <w:rPr>
          <w:rFonts w:cs="Times New Roman" w:ascii="Times New Roman" w:hAnsi="Times New Roman"/>
          <w:bCs/>
        </w:rPr>
        <w:tab/>
        <w:t xml:space="preserve">  Оплата производится путем перечисления денежных средств на расчетный счет Поставщика,  путем 100 % предоплаты Товара.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bCs/>
        </w:rPr>
      </w:pPr>
      <w:r>
        <w:rPr>
          <w:rFonts w:cs="Times New Roman" w:ascii="Times New Roman" w:hAnsi="Times New Roman"/>
          <w:b/>
          <w:bCs/>
        </w:rPr>
      </w:r>
    </w:p>
    <w:p>
      <w:pPr>
        <w:pStyle w:val="Normal"/>
        <w:numPr>
          <w:ilvl w:val="0"/>
          <w:numId w:val="1"/>
        </w:numPr>
        <w:spacing w:lineRule="auto" w:line="240" w:before="0" w:after="0"/>
        <w:rPr>
          <w:rFonts w:ascii="Times New Roman" w:hAnsi="Times New Roman" w:cs="Times New Roman"/>
          <w:b/>
          <w:b/>
          <w:bCs/>
        </w:rPr>
      </w:pPr>
      <w:r>
        <w:rPr>
          <w:rFonts w:cs="Times New Roman" w:ascii="Times New Roman" w:hAnsi="Times New Roman"/>
          <w:b/>
          <w:bCs/>
        </w:rPr>
        <w:t>Требования охраны окружающей среды</w:t>
      </w:r>
    </w:p>
    <w:p>
      <w:pPr>
        <w:pStyle w:val="Normal"/>
        <w:spacing w:lineRule="auto" w:line="240" w:before="0" w:after="0"/>
        <w:ind w:firstLine="70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Поставляемая Продукция должна быть экологически безопасна и не должна наносить вред окружающей среде.</w:t>
      </w:r>
    </w:p>
    <w:p>
      <w:pPr>
        <w:pStyle w:val="Normal"/>
        <w:spacing w:lineRule="auto" w:line="240" w:before="0" w:after="0"/>
        <w:ind w:firstLine="70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numPr>
          <w:ilvl w:val="0"/>
          <w:numId w:val="1"/>
        </w:numPr>
        <w:spacing w:lineRule="auto" w:line="240" w:before="0" w:after="0"/>
        <w:jc w:val="both"/>
        <w:rPr>
          <w:rFonts w:ascii="Times New Roman" w:hAnsi="Times New Roman" w:cs="Times New Roman"/>
          <w:b/>
          <w:b/>
          <w:bCs/>
        </w:rPr>
      </w:pPr>
      <w:r>
        <w:rPr>
          <w:rFonts w:cs="Times New Roman" w:ascii="Times New Roman" w:hAnsi="Times New Roman"/>
          <w:b/>
          <w:bCs/>
        </w:rPr>
        <w:t>Гарантийные обязательства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Изготовитель (поставщик) гарантирует качество Продукции в соответствии с требованиями настоящего технического задания.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</w:rPr>
        <w:t xml:space="preserve">Гарантийный срок хранения поставляемой Продукции – </w:t>
      </w:r>
      <w:r>
        <w:rPr>
          <w:rFonts w:cs="Times New Roman" w:ascii="Times New Roman" w:hAnsi="Times New Roman"/>
          <w:color w:val="000000"/>
        </w:rPr>
        <w:t xml:space="preserve">1 год с момента поставки. </w:t>
      </w:r>
      <w:r>
        <w:rPr>
          <w:rFonts w:cs="Times New Roman" w:ascii="Times New Roman" w:hAnsi="Times New Roman"/>
        </w:rPr>
        <w:t xml:space="preserve">Гарантийный срок эксплуатации поставляемой Продукции – </w:t>
      </w:r>
      <w:r>
        <w:rPr>
          <w:rFonts w:cs="Times New Roman" w:ascii="Times New Roman" w:hAnsi="Times New Roman"/>
          <w:color w:val="000000"/>
        </w:rPr>
        <w:t>не менее 24  месяцев со дня ввода в эксплуатацию.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В период действия гарантии изготовитель (поставщик) гарантирует замену за свой счет поставляемой Продукции, при выявлении заводских дефектов.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b/>
          <w:i/>
          <w:color w:val="000000"/>
        </w:rPr>
        <w:tab/>
      </w:r>
      <w:r>
        <w:rPr>
          <w:rFonts w:cs="Times New Roman" w:ascii="Times New Roman" w:hAnsi="Times New Roman"/>
        </w:rPr>
        <w:t>Гарантийные обязательства оформляются отдельным пунктом в договоре.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ListParagraph"/>
        <w:numPr>
          <w:ilvl w:val="0"/>
          <w:numId w:val="1"/>
        </w:numPr>
        <w:spacing w:lineRule="auto" w:line="240" w:before="0" w:after="0"/>
        <w:contextualSpacing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b/>
          <w:color w:val="000000"/>
        </w:rPr>
        <w:t>Ответственность сторон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color w:val="000000"/>
        </w:rPr>
        <w:t>Ответственность сторон  устанавливается отдельным пунктом в договоре.</w:t>
      </w:r>
    </w:p>
    <w:tbl>
      <w:tblPr>
        <w:tblW w:w="31308" w:type="dxa"/>
        <w:jc w:val="left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0" w:firstColumn="1" w:lastColumn="0" w:noHBand="0" w:val="00a0"/>
      </w:tblPr>
      <w:tblGrid>
        <w:gridCol w:w="30647"/>
        <w:gridCol w:w="81"/>
        <w:gridCol w:w="135"/>
        <w:gridCol w:w="222"/>
        <w:gridCol w:w="221"/>
      </w:tblGrid>
      <w:tr>
        <w:trPr/>
        <w:tc>
          <w:tcPr>
            <w:tcW w:w="3064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firstLine="709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6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firstLine="709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22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221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282" w:hRule="atLeast"/>
        </w:trPr>
        <w:tc>
          <w:tcPr>
            <w:tcW w:w="30863" w:type="dxa"/>
            <w:gridSpan w:val="3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firstLine="709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22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firstLine="709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2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firstLine="709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414" w:hRule="atLeast"/>
        </w:trPr>
        <w:tc>
          <w:tcPr>
            <w:tcW w:w="30728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firstLine="709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57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firstLine="709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2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firstLine="709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80" w:hRule="atLeast"/>
        </w:trPr>
        <w:tc>
          <w:tcPr>
            <w:tcW w:w="30728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firstLine="709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57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firstLine="709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2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firstLine="709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30728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firstLine="709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57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firstLine="709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2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firstLine="709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30728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firstLine="709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57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firstLine="709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2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80" w:hRule="atLeast"/>
        </w:trPr>
        <w:tc>
          <w:tcPr>
            <w:tcW w:w="30728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firstLine="709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57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firstLine="709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2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firstLine="709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30728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57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2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30728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firstLine="709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57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firstLine="709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2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firstLine="709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30728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57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firstLine="709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2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firstLine="709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</w:tbl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Spacing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Spacing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Spacing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Spacing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Spacing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Spacing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Spacing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</w:p>
    <w:p>
      <w:pPr>
        <w:pStyle w:val="NoSpacing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Spacing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Spacing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Spacing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Spacing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Spacing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Spacing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Spacing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Spacing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ind w:firstLine="709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color w:val="222222"/>
        </w:rPr>
        <w:tab/>
        <w:tab/>
        <w:tab/>
        <w:tab/>
        <w:tab/>
        <w:tab/>
        <w:tab/>
        <w:tab/>
        <w:tab/>
        <w:tab/>
        <w:tab/>
        <w:tab/>
        <w:tab/>
      </w:r>
      <w:r>
        <w:rPr>
          <w:rFonts w:cs="Times New Roman" w:ascii="Times New Roman" w:hAnsi="Times New Roman"/>
        </w:rPr>
        <w:t>Приложение № 1</w:t>
      </w:r>
    </w:p>
    <w:p>
      <w:pPr>
        <w:pStyle w:val="Normal"/>
        <w:spacing w:lineRule="auto" w:line="240" w:before="0" w:after="0"/>
        <w:ind w:firstLine="709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 </w:t>
      </w:r>
      <w:r>
        <w:rPr>
          <w:rFonts w:cs="Times New Roman" w:ascii="Times New Roman" w:hAnsi="Times New Roman"/>
        </w:rPr>
        <w:t>к ТЗ № 1  от 22.07. 2024г.</w:t>
      </w:r>
    </w:p>
    <w:p>
      <w:pPr>
        <w:pStyle w:val="Normal"/>
        <w:spacing w:lineRule="auto" w:line="240" w:before="0" w:after="0"/>
        <w:ind w:firstLine="709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           </w:t>
      </w:r>
      <w:r>
        <w:rPr>
          <w:rFonts w:cs="Times New Roman" w:ascii="Times New Roman" w:hAnsi="Times New Roman"/>
        </w:rPr>
        <w:t>Технические характеристики трансформатора  ТМГ - 1000/10/0,</w:t>
      </w:r>
      <w:r>
        <w:rPr>
          <w:rFonts w:cs="Tms Rmn" w:ascii="Tms Rmn" w:hAnsi="Tms Rmn"/>
          <w:color w:val="000000"/>
        </w:rPr>
        <w:t>4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Style w:val="af7"/>
        <w:tblW w:w="765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671"/>
        <w:gridCol w:w="2978"/>
      </w:tblGrid>
      <w:tr>
        <w:trPr/>
        <w:tc>
          <w:tcPr>
            <w:tcW w:w="467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firstLine="709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Наименование параметра</w:t>
            </w:r>
          </w:p>
        </w:tc>
        <w:tc>
          <w:tcPr>
            <w:tcW w:w="297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firstLine="709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366" w:hRule="atLeast"/>
        </w:trPr>
        <w:tc>
          <w:tcPr>
            <w:tcW w:w="467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</w:rPr>
            </w:pPr>
            <w:r>
              <w:rPr>
                <w:rFonts w:eastAsia="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Тип трансформатора</w:t>
            </w:r>
          </w:p>
        </w:tc>
        <w:tc>
          <w:tcPr>
            <w:tcW w:w="297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масляный в герметичной оболочке</w:t>
            </w:r>
          </w:p>
        </w:tc>
      </w:tr>
      <w:tr>
        <w:trPr/>
        <w:tc>
          <w:tcPr>
            <w:tcW w:w="467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Номинальная частота, Гц</w:t>
            </w:r>
          </w:p>
        </w:tc>
        <w:tc>
          <w:tcPr>
            <w:tcW w:w="297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50</w:t>
            </w:r>
          </w:p>
        </w:tc>
      </w:tr>
      <w:tr>
        <w:trPr/>
        <w:tc>
          <w:tcPr>
            <w:tcW w:w="467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Номинальная мощность, кВА</w:t>
            </w:r>
          </w:p>
        </w:tc>
        <w:tc>
          <w:tcPr>
            <w:tcW w:w="297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1000</w:t>
            </w:r>
          </w:p>
        </w:tc>
      </w:tr>
      <w:tr>
        <w:trPr/>
        <w:tc>
          <w:tcPr>
            <w:tcW w:w="467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Напряжение, кВ</w:t>
            </w:r>
          </w:p>
        </w:tc>
        <w:tc>
          <w:tcPr>
            <w:tcW w:w="297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10/0,4</w:t>
            </w:r>
          </w:p>
        </w:tc>
      </w:tr>
      <w:tr>
        <w:trPr/>
        <w:tc>
          <w:tcPr>
            <w:tcW w:w="467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Потери холостого хода, Вт</w:t>
            </w:r>
          </w:p>
        </w:tc>
        <w:tc>
          <w:tcPr>
            <w:tcW w:w="297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1400</w:t>
            </w:r>
          </w:p>
        </w:tc>
      </w:tr>
      <w:tr>
        <w:trPr/>
        <w:tc>
          <w:tcPr>
            <w:tcW w:w="467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Потери короткого замыкания, Вт</w:t>
            </w:r>
          </w:p>
        </w:tc>
        <w:tc>
          <w:tcPr>
            <w:tcW w:w="297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 xml:space="preserve">10800 </w:t>
            </w:r>
            <w:r>
              <w:rPr>
                <w:rFonts w:eastAsia="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(+/- 200)</w:t>
            </w:r>
          </w:p>
        </w:tc>
      </w:tr>
      <w:tr>
        <w:trPr/>
        <w:tc>
          <w:tcPr>
            <w:tcW w:w="467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Напряжение короткого замыкания,%</w:t>
            </w:r>
          </w:p>
        </w:tc>
        <w:tc>
          <w:tcPr>
            <w:tcW w:w="297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 xml:space="preserve">5,5 </w:t>
            </w:r>
            <w:r>
              <w:rPr>
                <w:rFonts w:eastAsia="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(+/-100)</w:t>
            </w:r>
          </w:p>
        </w:tc>
      </w:tr>
      <w:tr>
        <w:trPr/>
        <w:tc>
          <w:tcPr>
            <w:tcW w:w="467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Ток холостого хода, %</w:t>
            </w:r>
          </w:p>
        </w:tc>
        <w:tc>
          <w:tcPr>
            <w:tcW w:w="297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" w:cs="Times New Roman"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 xml:space="preserve">0,6 </w:t>
            </w:r>
            <w:r>
              <w:rPr>
                <w:rFonts w:eastAsia="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(+/-0,1)</w:t>
            </w:r>
          </w:p>
        </w:tc>
      </w:tr>
      <w:tr>
        <w:trPr/>
        <w:tc>
          <w:tcPr>
            <w:tcW w:w="467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Схема и группа соединения обмоток</w:t>
            </w:r>
          </w:p>
        </w:tc>
        <w:tc>
          <w:tcPr>
            <w:tcW w:w="297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 w:eastAsiaTheme="minorEastAsia"/>
                <w:color w:val="auto"/>
                <w:kern w:val="0"/>
                <w:sz w:val="22"/>
                <w:szCs w:val="22"/>
                <w:lang w:val="ru-RU" w:eastAsia="ru-RU" w:bidi="ar-SA"/>
              </w:rPr>
              <w:t>Д</w:t>
            </w:r>
            <w:r>
              <w:rPr>
                <w:rFonts w:eastAsia="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/</w:t>
            </w:r>
            <w:r>
              <w:rPr>
                <w:rFonts w:eastAsia="" w:cs="Times New Roman" w:ascii="Times New Roman" w:hAnsi="Times New Roman" w:eastAsiaTheme="minorEastAsia"/>
                <w:color w:val="auto"/>
                <w:kern w:val="0"/>
                <w:sz w:val="22"/>
                <w:szCs w:val="22"/>
                <w:lang w:val="ru-RU" w:eastAsia="ru-RU" w:bidi="ar-SA"/>
              </w:rPr>
              <w:t>У</w:t>
            </w:r>
            <w:r>
              <w:rPr>
                <w:rFonts w:eastAsia="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н-11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467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Климатическое исполнение</w:t>
            </w:r>
          </w:p>
        </w:tc>
        <w:tc>
          <w:tcPr>
            <w:tcW w:w="297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УХЛ1</w:t>
            </w:r>
          </w:p>
        </w:tc>
      </w:tr>
      <w:tr>
        <w:trPr/>
        <w:tc>
          <w:tcPr>
            <w:tcW w:w="467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Размеры ДхШхВ мм</w:t>
            </w:r>
          </w:p>
        </w:tc>
        <w:tc>
          <w:tcPr>
            <w:tcW w:w="297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Не более</w:t>
            </w:r>
            <w:r>
              <w:rPr>
                <w:rFonts w:eastAsia="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17</w:t>
            </w:r>
            <w:r>
              <w:rPr>
                <w:rFonts w:eastAsia="" w:cs="Times New Roman" w:ascii="Times New Roman" w:hAnsi="Times New Roman" w:eastAsiaTheme="minorEastAsia"/>
                <w:color w:val="auto"/>
                <w:kern w:val="0"/>
                <w:sz w:val="22"/>
                <w:szCs w:val="22"/>
                <w:lang w:val="ru-RU" w:eastAsia="ru-RU" w:bidi="ar-SA"/>
              </w:rPr>
              <w:t>2</w:t>
            </w:r>
            <w:r>
              <w:rPr>
                <w:rFonts w:eastAsia="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0х10</w:t>
            </w:r>
            <w:r>
              <w:rPr>
                <w:rFonts w:eastAsia="" w:cs="Times New Roman" w:ascii="Times New Roman" w:hAnsi="Times New Roman" w:eastAsiaTheme="minorEastAsia"/>
                <w:color w:val="auto"/>
                <w:kern w:val="0"/>
                <w:sz w:val="22"/>
                <w:szCs w:val="22"/>
                <w:lang w:val="ru-RU" w:eastAsia="ru-RU" w:bidi="ar-SA"/>
              </w:rPr>
              <w:t>5</w:t>
            </w:r>
            <w:r>
              <w:rPr>
                <w:rFonts w:eastAsia="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0х16</w:t>
            </w:r>
            <w:r>
              <w:rPr>
                <w:rFonts w:eastAsia="" w:cs="Times New Roman" w:ascii="Times New Roman" w:hAnsi="Times New Roman" w:eastAsiaTheme="minorEastAsia"/>
                <w:color w:val="auto"/>
                <w:kern w:val="0"/>
                <w:sz w:val="22"/>
                <w:szCs w:val="22"/>
                <w:lang w:val="ru-RU" w:eastAsia="ru-RU" w:bidi="ar-SA"/>
              </w:rPr>
              <w:t>50</w:t>
            </w:r>
            <w:r>
              <w:rPr>
                <w:rFonts w:eastAsia="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</w:p>
        </w:tc>
      </w:tr>
      <w:tr>
        <w:trPr/>
        <w:tc>
          <w:tcPr>
            <w:tcW w:w="467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Масса масла, кг</w:t>
            </w:r>
          </w:p>
        </w:tc>
        <w:tc>
          <w:tcPr>
            <w:tcW w:w="297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" w:cs="Times New Roman"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 xml:space="preserve">Не более </w:t>
            </w:r>
            <w:r>
              <w:rPr>
                <w:rFonts w:eastAsia="" w:cs="Times New Roman" w:ascii="Times New Roman" w:hAnsi="Times New Roman" w:eastAsiaTheme="minorEastAsia"/>
                <w:color w:val="auto"/>
                <w:kern w:val="0"/>
                <w:sz w:val="22"/>
                <w:szCs w:val="22"/>
                <w:lang w:val="ru-RU" w:eastAsia="ru-RU" w:bidi="ar-SA"/>
              </w:rPr>
              <w:t>650</w:t>
            </w:r>
          </w:p>
        </w:tc>
      </w:tr>
      <w:tr>
        <w:trPr/>
        <w:tc>
          <w:tcPr>
            <w:tcW w:w="467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Масса, кг</w:t>
            </w:r>
          </w:p>
        </w:tc>
        <w:tc>
          <w:tcPr>
            <w:tcW w:w="297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 xml:space="preserve">Не более </w:t>
            </w:r>
            <w:r>
              <w:rPr>
                <w:rFonts w:eastAsia="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2</w:t>
            </w:r>
            <w:r>
              <w:rPr>
                <w:rFonts w:eastAsia="" w:cs="Times New Roman" w:ascii="Times New Roman" w:hAnsi="Times New Roman" w:eastAsiaTheme="minorEastAsia"/>
                <w:color w:val="auto"/>
                <w:kern w:val="0"/>
                <w:sz w:val="22"/>
                <w:szCs w:val="22"/>
                <w:lang w:val="ru-RU" w:eastAsia="ru-RU" w:bidi="ar-SA"/>
              </w:rPr>
              <w:t>800</w:t>
            </w:r>
          </w:p>
        </w:tc>
      </w:tr>
    </w:tbl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240" w:before="45" w:after="45"/>
        <w:rPr>
          <w:rFonts w:ascii="Times New Roman" w:hAnsi="Times New Roman" w:eastAsia="Times New Roman" w:cs="Times New Roman"/>
          <w:color w:val="000000"/>
        </w:rPr>
      </w:pPr>
      <w:r>
        <w:rPr>
          <w:rFonts w:eastAsia="Times New Roman" w:cs="Times New Roman" w:ascii="Times New Roman" w:hAnsi="Times New Roman"/>
          <w:color w:val="000000"/>
        </w:rPr>
      </w:r>
    </w:p>
    <w:p>
      <w:pPr>
        <w:pStyle w:val="Normal"/>
        <w:spacing w:lineRule="auto" w:line="240" w:before="45" w:after="45"/>
        <w:rPr>
          <w:rFonts w:ascii="Times New Roman" w:hAnsi="Times New Roman" w:eastAsia="Times New Roman" w:cs="Times New Roman"/>
          <w:color w:val="000000"/>
        </w:rPr>
      </w:pPr>
      <w:r>
        <w:rPr>
          <w:rFonts w:eastAsia="Times New Roman" w:cs="Times New Roman" w:ascii="Times New Roman" w:hAnsi="Times New Roman"/>
          <w:color w:val="000000"/>
        </w:rPr>
      </w:r>
    </w:p>
    <w:p>
      <w:pPr>
        <w:pStyle w:val="Normal"/>
        <w:spacing w:lineRule="auto" w:line="240" w:before="45" w:after="45"/>
        <w:rPr>
          <w:rFonts w:ascii="Times New Roman" w:hAnsi="Times New Roman" w:eastAsia="Times New Roman" w:cs="Times New Roman"/>
          <w:color w:val="000000"/>
        </w:rPr>
      </w:pPr>
      <w:r>
        <w:rPr>
          <w:rFonts w:eastAsia="Times New Roman" w:cs="Times New Roman" w:ascii="Times New Roman" w:hAnsi="Times New Roman"/>
          <w:color w:val="000000"/>
        </w:rPr>
      </w:r>
    </w:p>
    <w:p>
      <w:pPr>
        <w:pStyle w:val="NoSpacing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  <w:bookmarkStart w:id="0" w:name="_GoBack"/>
      <w:bookmarkStart w:id="1" w:name="_GoBack"/>
      <w:bookmarkEnd w:id="1"/>
    </w:p>
    <w:p>
      <w:pPr>
        <w:pStyle w:val="Normal"/>
        <w:spacing w:lineRule="auto" w:line="240" w:before="0" w:after="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Spacing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Spacing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</w:t>
      </w:r>
    </w:p>
    <w:sectPr>
      <w:type w:val="nextPage"/>
      <w:pgSz w:w="11906" w:h="16838"/>
      <w:pgMar w:left="1701" w:right="851" w:header="0" w:top="624" w:footer="0" w:bottom="28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Cambria"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Courier New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ms Rmn">
    <w:altName w:val="Times New Roman"/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lvlText w:val="%1.%2."/>
      <w:lvlJc w:val="left"/>
      <w:pPr>
        <w:tabs>
          <w:tab w:val="num" w:pos="1753"/>
        </w:tabs>
        <w:ind w:left="1753" w:hanging="1185"/>
      </w:pPr>
      <w:rPr>
        <w:b w:val="false"/>
      </w:rPr>
    </w:lvl>
    <w:lvl w:ilvl="2">
      <w:start w:val="1"/>
      <w:numFmt w:val="decimal"/>
      <w:lvlText w:val="%1.%2.%3."/>
      <w:lvlJc w:val="left"/>
      <w:pPr>
        <w:tabs>
          <w:tab w:val="num" w:pos="1894"/>
        </w:tabs>
        <w:ind w:left="1894" w:hanging="1185"/>
      </w:pPr>
    </w:lvl>
    <w:lvl w:ilvl="3">
      <w:start w:val="1"/>
      <w:numFmt w:val="decimal"/>
      <w:lvlText w:val="%1.%2.%3.%4."/>
      <w:lvlJc w:val="left"/>
      <w:pPr>
        <w:tabs>
          <w:tab w:val="num" w:pos="1894"/>
        </w:tabs>
        <w:ind w:left="1894" w:hanging="1185"/>
      </w:pPr>
    </w:lvl>
    <w:lvl w:ilvl="4">
      <w:start w:val="1"/>
      <w:numFmt w:val="decimal"/>
      <w:lvlText w:val="%1.%2.%3.%4.%5."/>
      <w:lvlJc w:val="left"/>
      <w:pPr>
        <w:tabs>
          <w:tab w:val="num" w:pos="1894"/>
        </w:tabs>
        <w:ind w:left="1894" w:hanging="1185"/>
      </w:pPr>
    </w:lvl>
    <w:lvl w:ilvl="5">
      <w:start w:val="1"/>
      <w:numFmt w:val="decimal"/>
      <w:lvlText w:val="%1.%2.%3.%4.%5.%6."/>
      <w:lvlJc w:val="left"/>
      <w:pPr>
        <w:tabs>
          <w:tab w:val="num" w:pos="1894"/>
        </w:tabs>
        <w:ind w:left="1894" w:hanging="1185"/>
      </w:pPr>
    </w:lvl>
    <w:lvl w:ilvl="6">
      <w:start w:val="1"/>
      <w:numFmt w:val="decimal"/>
      <w:lvlText w:val="%1.%2.%3.%4.%5.%6.%7."/>
      <w:lvlJc w:val="left"/>
      <w:pPr>
        <w:tabs>
          <w:tab w:val="num" w:pos="2149"/>
        </w:tabs>
        <w:ind w:left="2149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149"/>
        </w:tabs>
        <w:ind w:left="2149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509"/>
        </w:tabs>
        <w:ind w:left="2509" w:hanging="180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defaultTabStop w:val="709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Body Text 2" w:uiPriority="0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" w:cs="" w:asciiTheme="minorHAnsi" w:cstheme="minorBidi" w:eastAsiaTheme="minorEastAsia" w:hAnsiTheme="minorHAnsi"/>
      <w:color w:val="auto"/>
      <w:kern w:val="0"/>
      <w:sz w:val="22"/>
      <w:szCs w:val="22"/>
      <w:lang w:val="ru-RU" w:eastAsia="ru-RU" w:bidi="ar-SA"/>
    </w:rPr>
  </w:style>
  <w:style w:type="paragraph" w:styleId="1">
    <w:name w:val="Heading 1"/>
    <w:basedOn w:val="Normal"/>
    <w:next w:val="Normal"/>
    <w:link w:val="10"/>
    <w:qFormat/>
    <w:rsid w:val="00ee4501"/>
    <w:pPr>
      <w:keepNext w:val="true"/>
      <w:keepLines/>
      <w:spacing w:before="480" w:after="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Normal"/>
    <w:link w:val="20"/>
    <w:qFormat/>
    <w:rsid w:val="00cf471a"/>
    <w:pPr>
      <w:tabs>
        <w:tab w:val="clear" w:pos="709"/>
        <w:tab w:val="left" w:pos="576" w:leader="none"/>
      </w:tabs>
      <w:suppressAutoHyphens w:val="true"/>
      <w:spacing w:lineRule="auto" w:line="240" w:before="40" w:after="40"/>
      <w:ind w:left="576" w:hanging="576"/>
      <w:jc w:val="both"/>
      <w:outlineLvl w:val="1"/>
    </w:pPr>
    <w:rPr>
      <w:rFonts w:ascii="Calibri" w:hAnsi="Calibri" w:eastAsia="Times New Roman" w:cs="Times New Roman"/>
      <w:bCs/>
      <w:szCs w:val="24"/>
      <w:lang w:eastAsia="ar-SA"/>
    </w:rPr>
  </w:style>
  <w:style w:type="paragraph" w:styleId="3">
    <w:name w:val="Heading 3"/>
    <w:basedOn w:val="Normal"/>
    <w:link w:val="30"/>
    <w:qFormat/>
    <w:rsid w:val="00cf471a"/>
    <w:pPr>
      <w:tabs>
        <w:tab w:val="clear" w:pos="709"/>
        <w:tab w:val="left" w:pos="900" w:leader="none"/>
      </w:tabs>
      <w:suppressAutoHyphens w:val="true"/>
      <w:spacing w:lineRule="auto" w:line="240" w:before="40" w:after="40"/>
      <w:ind w:left="907" w:hanging="727"/>
      <w:jc w:val="both"/>
      <w:outlineLvl w:val="2"/>
    </w:pPr>
    <w:rPr>
      <w:rFonts w:ascii="Calibri" w:hAnsi="Calibri" w:eastAsia="Times New Roman" w:cs="Arial"/>
      <w:bCs/>
      <w:szCs w:val="24"/>
      <w:lang w:eastAsia="ar-SA"/>
    </w:rPr>
  </w:style>
  <w:style w:type="paragraph" w:styleId="4">
    <w:name w:val="Heading 4"/>
    <w:basedOn w:val="Normal"/>
    <w:next w:val="Normal"/>
    <w:link w:val="40"/>
    <w:uiPriority w:val="9"/>
    <w:semiHidden/>
    <w:unhideWhenUsed/>
    <w:qFormat/>
    <w:rsid w:val="002d3d0a"/>
    <w:pPr>
      <w:keepNext w:val="true"/>
      <w:keepLines/>
      <w:spacing w:before="40" w:after="0"/>
      <w:outlineLvl w:val="3"/>
    </w:pPr>
    <w:rPr>
      <w:rFonts w:ascii="Cambria" w:hAnsi="Cambria" w:eastAsia="" w:cs="" w:asciiTheme="majorHAnsi" w:cstheme="majorBidi" w:eastAsiaTheme="majorEastAsia" w:hAnsiTheme="majorHAnsi"/>
      <w:i/>
      <w:iCs/>
      <w:color w:val="365F91" w:themeColor="accent1" w:themeShade="bf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0" w:customStyle="1">
    <w:name w:val="Верхний колонтитул Знак"/>
    <w:basedOn w:val="DefaultParagraphFont"/>
    <w:link w:val="a3"/>
    <w:qFormat/>
    <w:rsid w:val="00ee4501"/>
    <w:rPr>
      <w:rFonts w:ascii="Times New Roman" w:hAnsi="Times New Roman" w:eastAsia="Calibri" w:cs="Times New Roman"/>
    </w:rPr>
  </w:style>
  <w:style w:type="character" w:styleId="11" w:customStyle="1">
    <w:name w:val="Заголовок 1 Знак"/>
    <w:basedOn w:val="DefaultParagraphFont"/>
    <w:link w:val="1"/>
    <w:uiPriority w:val="9"/>
    <w:qFormat/>
    <w:rsid w:val="00ee4501"/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character" w:styleId="Style11">
    <w:name w:val="Интернет-ссылка"/>
    <w:basedOn w:val="DefaultParagraphFont"/>
    <w:uiPriority w:val="99"/>
    <w:unhideWhenUsed/>
    <w:rsid w:val="00ee4501"/>
    <w:rPr>
      <w:color w:val="0000FF" w:themeColor="hyperlink"/>
      <w:u w:val="single"/>
    </w:rPr>
  </w:style>
  <w:style w:type="character" w:styleId="Style12" w:customStyle="1">
    <w:name w:val="Текст выноски Знак"/>
    <w:basedOn w:val="DefaultParagraphFont"/>
    <w:link w:val="a7"/>
    <w:uiPriority w:val="99"/>
    <w:semiHidden/>
    <w:qFormat/>
    <w:rsid w:val="00ee4501"/>
    <w:rPr>
      <w:rFonts w:ascii="Tahoma" w:hAnsi="Tahoma" w:cs="Tahoma"/>
      <w:sz w:val="16"/>
      <w:szCs w:val="16"/>
    </w:rPr>
  </w:style>
  <w:style w:type="character" w:styleId="21" w:customStyle="1">
    <w:name w:val="Заголовок 2 Знак"/>
    <w:basedOn w:val="DefaultParagraphFont"/>
    <w:link w:val="2"/>
    <w:qFormat/>
    <w:rsid w:val="00cf471a"/>
    <w:rPr>
      <w:rFonts w:ascii="Calibri" w:hAnsi="Calibri" w:eastAsia="Times New Roman" w:cs="Times New Roman"/>
      <w:bCs/>
      <w:szCs w:val="24"/>
      <w:lang w:eastAsia="ar-SA"/>
    </w:rPr>
  </w:style>
  <w:style w:type="character" w:styleId="31" w:customStyle="1">
    <w:name w:val="Заголовок 3 Знак"/>
    <w:basedOn w:val="DefaultParagraphFont"/>
    <w:link w:val="3"/>
    <w:qFormat/>
    <w:rsid w:val="00cf471a"/>
    <w:rPr>
      <w:rFonts w:ascii="Calibri" w:hAnsi="Calibri" w:eastAsia="Times New Roman" w:cs="Arial"/>
      <w:bCs/>
      <w:szCs w:val="24"/>
      <w:lang w:eastAsia="ar-SA"/>
    </w:rPr>
  </w:style>
  <w:style w:type="character" w:styleId="Style13" w:customStyle="1">
    <w:name w:val="Основной текст Знак"/>
    <w:basedOn w:val="DefaultParagraphFont"/>
    <w:link w:val="a9"/>
    <w:uiPriority w:val="99"/>
    <w:qFormat/>
    <w:rsid w:val="00f91f4d"/>
    <w:rPr>
      <w:rFonts w:ascii="Times New Roman" w:hAnsi="Times New Roman" w:eastAsia="Times New Roman" w:cs="Times New Roman"/>
      <w:sz w:val="20"/>
      <w:szCs w:val="20"/>
      <w:lang w:val="en-US" w:eastAsia="ru-RU"/>
    </w:rPr>
  </w:style>
  <w:style w:type="character" w:styleId="Style14" w:customStyle="1">
    <w:name w:val="Текст Знак"/>
    <w:basedOn w:val="DefaultParagraphFont"/>
    <w:link w:val="ab"/>
    <w:uiPriority w:val="99"/>
    <w:qFormat/>
    <w:rsid w:val="00f91f4d"/>
    <w:rPr>
      <w:rFonts w:ascii="Courier New" w:hAnsi="Courier New" w:eastAsia="Times New Roman" w:cs="Courier New"/>
      <w:sz w:val="20"/>
      <w:szCs w:val="20"/>
      <w:lang w:eastAsia="ru-RU"/>
    </w:rPr>
  </w:style>
  <w:style w:type="character" w:styleId="12" w:customStyle="1">
    <w:name w:val="Стиль1 Знак"/>
    <w:basedOn w:val="Style10"/>
    <w:link w:val="12"/>
    <w:qFormat/>
    <w:rsid w:val="0082325c"/>
    <w:rPr>
      <w:rFonts w:ascii="Times New Roman" w:hAnsi="Times New Roman" w:eastAsia="Calibri" w:cs="Times New Roman"/>
      <w:b/>
      <w:i/>
      <w:sz w:val="24"/>
    </w:rPr>
  </w:style>
  <w:style w:type="character" w:styleId="22" w:customStyle="1">
    <w:name w:val="Основной текст 2 Знак"/>
    <w:basedOn w:val="DefaultParagraphFont"/>
    <w:link w:val="22"/>
    <w:qFormat/>
    <w:rsid w:val="00971e9d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971e9d"/>
    <w:rPr>
      <w:sz w:val="16"/>
      <w:szCs w:val="16"/>
    </w:rPr>
  </w:style>
  <w:style w:type="character" w:styleId="Style15" w:customStyle="1">
    <w:name w:val="Текст примечания Знак"/>
    <w:basedOn w:val="DefaultParagraphFont"/>
    <w:link w:val="af0"/>
    <w:uiPriority w:val="99"/>
    <w:semiHidden/>
    <w:qFormat/>
    <w:rsid w:val="00971e9d"/>
    <w:rPr>
      <w:sz w:val="20"/>
      <w:szCs w:val="20"/>
    </w:rPr>
  </w:style>
  <w:style w:type="character" w:styleId="Style16" w:customStyle="1">
    <w:name w:val="Тема примечания Знак"/>
    <w:basedOn w:val="Style15"/>
    <w:link w:val="af2"/>
    <w:uiPriority w:val="99"/>
    <w:semiHidden/>
    <w:qFormat/>
    <w:rsid w:val="00971e9d"/>
    <w:rPr>
      <w:b/>
      <w:bCs/>
      <w:sz w:val="20"/>
      <w:szCs w:val="20"/>
    </w:rPr>
  </w:style>
  <w:style w:type="character" w:styleId="Style17" w:customStyle="1">
    <w:name w:val="Нижний колонтитул Знак"/>
    <w:basedOn w:val="DefaultParagraphFont"/>
    <w:link w:val="af4"/>
    <w:uiPriority w:val="99"/>
    <w:qFormat/>
    <w:rsid w:val="002a2adf"/>
    <w:rPr/>
  </w:style>
  <w:style w:type="character" w:styleId="PlaceholderText">
    <w:name w:val="Placeholder Text"/>
    <w:basedOn w:val="DefaultParagraphFont"/>
    <w:uiPriority w:val="99"/>
    <w:semiHidden/>
    <w:qFormat/>
    <w:rsid w:val="000f7b14"/>
    <w:rPr>
      <w:color w:val="808080"/>
    </w:rPr>
  </w:style>
  <w:style w:type="character" w:styleId="Appleconvertedspace" w:customStyle="1">
    <w:name w:val="apple-converted-space"/>
    <w:basedOn w:val="DefaultParagraphFont"/>
    <w:qFormat/>
    <w:rsid w:val="00c1645e"/>
    <w:rPr/>
  </w:style>
  <w:style w:type="character" w:styleId="41" w:customStyle="1">
    <w:name w:val="Заголовок 4 Знак"/>
    <w:basedOn w:val="DefaultParagraphFont"/>
    <w:link w:val="4"/>
    <w:uiPriority w:val="9"/>
    <w:semiHidden/>
    <w:qFormat/>
    <w:rsid w:val="002d3d0a"/>
    <w:rPr>
      <w:rFonts w:ascii="Cambria" w:hAnsi="Cambria" w:eastAsia="" w:cs="" w:asciiTheme="majorHAnsi" w:cstheme="majorBidi" w:eastAsiaTheme="majorEastAsia" w:hAnsiTheme="majorHAnsi"/>
      <w:i/>
      <w:iCs/>
      <w:color w:val="365F91" w:themeColor="accent1" w:themeShade="bf"/>
    </w:rPr>
  </w:style>
  <w:style w:type="character" w:styleId="Strong">
    <w:name w:val="Strong"/>
    <w:basedOn w:val="DefaultParagraphFont"/>
    <w:uiPriority w:val="22"/>
    <w:qFormat/>
    <w:rsid w:val="002d3d0a"/>
    <w:rPr>
      <w:b/>
      <w:bCs/>
    </w:rPr>
  </w:style>
  <w:style w:type="paragraph" w:styleId="Style18">
    <w:name w:val="Заголовок"/>
    <w:basedOn w:val="Normal"/>
    <w:next w:val="Style19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9">
    <w:name w:val="Body Text"/>
    <w:basedOn w:val="Normal"/>
    <w:link w:val="aa"/>
    <w:uiPriority w:val="99"/>
    <w:rsid w:val="00f91f4d"/>
    <w:pPr>
      <w:spacing w:lineRule="auto" w:line="240" w:before="0" w:after="0"/>
      <w:jc w:val="center"/>
    </w:pPr>
    <w:rPr>
      <w:rFonts w:ascii="Times New Roman" w:hAnsi="Times New Roman" w:eastAsia="Times New Roman" w:cs="Times New Roman"/>
      <w:sz w:val="20"/>
      <w:szCs w:val="20"/>
      <w:lang w:val="en-US"/>
    </w:rPr>
  </w:style>
  <w:style w:type="paragraph" w:styleId="Style20">
    <w:name w:val="List"/>
    <w:basedOn w:val="Style19"/>
    <w:pPr/>
    <w:rPr>
      <w:rFonts w:cs="Arial"/>
    </w:rPr>
  </w:style>
  <w:style w:type="paragraph" w:styleId="Style21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2">
    <w:name w:val="Указатель"/>
    <w:basedOn w:val="Normal"/>
    <w:qFormat/>
    <w:pPr>
      <w:suppressLineNumbers/>
    </w:pPr>
    <w:rPr>
      <w:rFonts w:cs="Arial"/>
    </w:rPr>
  </w:style>
  <w:style w:type="paragraph" w:styleId="Style23">
    <w:name w:val="Верхний и нижний колонтитулы"/>
    <w:basedOn w:val="Normal"/>
    <w:qFormat/>
    <w:pPr/>
    <w:rPr/>
  </w:style>
  <w:style w:type="paragraph" w:styleId="Style24">
    <w:name w:val="Header"/>
    <w:basedOn w:val="Normal"/>
    <w:link w:val="a4"/>
    <w:rsid w:val="00ee4501"/>
    <w:pPr>
      <w:tabs>
        <w:tab w:val="clear" w:pos="709"/>
        <w:tab w:val="center" w:pos="4677" w:leader="none"/>
        <w:tab w:val="right" w:pos="9355" w:leader="none"/>
      </w:tabs>
    </w:pPr>
    <w:rPr>
      <w:rFonts w:ascii="Times New Roman" w:hAnsi="Times New Roman" w:eastAsia="Calibri" w:cs="Times New Roman"/>
    </w:rPr>
  </w:style>
  <w:style w:type="paragraph" w:styleId="TOCHeading">
    <w:name w:val="TOC Heading"/>
    <w:basedOn w:val="1"/>
    <w:next w:val="Normal"/>
    <w:uiPriority w:val="39"/>
    <w:unhideWhenUsed/>
    <w:qFormat/>
    <w:rsid w:val="00ee4501"/>
    <w:pPr/>
    <w:rPr/>
  </w:style>
  <w:style w:type="paragraph" w:styleId="13">
    <w:name w:val="TOC 1"/>
    <w:basedOn w:val="Normal"/>
    <w:next w:val="Normal"/>
    <w:autoRedefine/>
    <w:uiPriority w:val="39"/>
    <w:unhideWhenUsed/>
    <w:rsid w:val="00ee4501"/>
    <w:pPr>
      <w:spacing w:before="0" w:after="100"/>
    </w:pPr>
    <w:rPr/>
  </w:style>
  <w:style w:type="paragraph" w:styleId="BalloonText">
    <w:name w:val="Balloon Text"/>
    <w:basedOn w:val="Normal"/>
    <w:link w:val="a8"/>
    <w:uiPriority w:val="99"/>
    <w:semiHidden/>
    <w:unhideWhenUsed/>
    <w:qFormat/>
    <w:rsid w:val="00ee4501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23">
    <w:name w:val="TOC 2"/>
    <w:basedOn w:val="Normal"/>
    <w:next w:val="Normal"/>
    <w:autoRedefine/>
    <w:uiPriority w:val="39"/>
    <w:unhideWhenUsed/>
    <w:rsid w:val="00cf471a"/>
    <w:pPr>
      <w:spacing w:before="0" w:after="100"/>
      <w:ind w:left="220" w:hanging="0"/>
    </w:pPr>
    <w:rPr/>
  </w:style>
  <w:style w:type="paragraph" w:styleId="PlainText">
    <w:name w:val="Plain Text"/>
    <w:basedOn w:val="Normal"/>
    <w:link w:val="ac"/>
    <w:uiPriority w:val="99"/>
    <w:qFormat/>
    <w:rsid w:val="00f91f4d"/>
    <w:pPr>
      <w:spacing w:lineRule="auto" w:line="240" w:before="0" w:after="0"/>
    </w:pPr>
    <w:rPr>
      <w:rFonts w:ascii="Courier New" w:hAnsi="Courier New" w:eastAsia="Times New Roman" w:cs="Courier New"/>
      <w:sz w:val="20"/>
      <w:szCs w:val="20"/>
    </w:rPr>
  </w:style>
  <w:style w:type="paragraph" w:styleId="14" w:customStyle="1">
    <w:name w:val="Стиль1"/>
    <w:basedOn w:val="Style24"/>
    <w:link w:val="13"/>
    <w:qFormat/>
    <w:rsid w:val="0082325c"/>
    <w:pPr>
      <w:spacing w:lineRule="auto" w:line="240" w:before="0" w:after="0"/>
      <w:ind w:left="567" w:hanging="0"/>
      <w:jc w:val="both"/>
    </w:pPr>
    <w:rPr>
      <w:b/>
      <w:i/>
      <w:sz w:val="24"/>
    </w:rPr>
  </w:style>
  <w:style w:type="paragraph" w:styleId="ListParagraph">
    <w:name w:val="List Paragraph"/>
    <w:basedOn w:val="Normal"/>
    <w:uiPriority w:val="34"/>
    <w:qFormat/>
    <w:rsid w:val="005f4bc4"/>
    <w:pPr>
      <w:spacing w:before="0" w:after="200"/>
      <w:ind w:left="720" w:hanging="0"/>
      <w:contextualSpacing/>
    </w:pPr>
    <w:rPr/>
  </w:style>
  <w:style w:type="paragraph" w:styleId="NoSpacing">
    <w:name w:val="No Spacing"/>
    <w:uiPriority w:val="1"/>
    <w:qFormat/>
    <w:rsid w:val="00971e9d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Times New Roman" w:asciiTheme="minorHAnsi" w:hAnsiTheme="minorHAnsi"/>
      <w:color w:val="auto"/>
      <w:kern w:val="0"/>
      <w:sz w:val="22"/>
      <w:szCs w:val="22"/>
      <w:lang w:val="ru-RU" w:eastAsia="ru-RU" w:bidi="ar-SA"/>
    </w:rPr>
  </w:style>
  <w:style w:type="paragraph" w:styleId="BodyText2">
    <w:name w:val="Body Text 2"/>
    <w:basedOn w:val="Normal"/>
    <w:link w:val="23"/>
    <w:qFormat/>
    <w:rsid w:val="00971e9d"/>
    <w:pPr>
      <w:spacing w:lineRule="auto" w:line="480" w:before="0" w:after="120"/>
    </w:pPr>
    <w:rPr>
      <w:rFonts w:ascii="Times New Roman" w:hAnsi="Times New Roman" w:eastAsia="Times New Roman" w:cs="Times New Roman"/>
      <w:sz w:val="24"/>
      <w:szCs w:val="24"/>
    </w:rPr>
  </w:style>
  <w:style w:type="paragraph" w:styleId="Annotationtext">
    <w:name w:val="annotation text"/>
    <w:basedOn w:val="Normal"/>
    <w:link w:val="af1"/>
    <w:uiPriority w:val="99"/>
    <w:semiHidden/>
    <w:unhideWhenUsed/>
    <w:qFormat/>
    <w:rsid w:val="00971e9d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af3"/>
    <w:uiPriority w:val="99"/>
    <w:semiHidden/>
    <w:unhideWhenUsed/>
    <w:qFormat/>
    <w:rsid w:val="00971e9d"/>
    <w:pPr/>
    <w:rPr>
      <w:b/>
      <w:bCs/>
    </w:rPr>
  </w:style>
  <w:style w:type="paragraph" w:styleId="Style25">
    <w:name w:val="Footer"/>
    <w:basedOn w:val="Normal"/>
    <w:link w:val="af5"/>
    <w:uiPriority w:val="99"/>
    <w:unhideWhenUsed/>
    <w:rsid w:val="002a2adf"/>
    <w:pPr>
      <w:tabs>
        <w:tab w:val="clear" w:pos="709"/>
        <w:tab w:val="center" w:pos="4677" w:leader="none"/>
        <w:tab w:val="right" w:pos="9355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"/>
    <w:basedOn w:val="a1"/>
    <w:uiPriority w:val="59"/>
    <w:rsid w:val="00ff465f"/>
    <w:pPr>
      <w:spacing w:after="0" w:line="240" w:lineRule="auto"/>
    </w:pPr>
    <w:rPr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7">
    <w:name w:val="Table Grid"/>
    <w:basedOn w:val="a1"/>
    <w:uiPriority w:val="59"/>
    <w:rsid w:val="00ff465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basedOn w:val="a1"/>
    <w:uiPriority w:val="59"/>
    <w:rsid w:val="00a87011"/>
    <w:pPr>
      <w:spacing w:after="0" w:line="240" w:lineRule="auto"/>
    </w:pPr>
    <w:rPr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5F683D-DD4A-464E-B0A6-85A41DD71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Application>LibreOffice/7.1.4.2$Windows_X86_64 LibreOffice_project/a529a4fab45b75fefc5b6226684193eb000654f6</Application>
  <AppVersion>15.0000</AppVersion>
  <Pages>3</Pages>
  <Words>527</Words>
  <Characters>3607</Characters>
  <CharactersWithSpaces>4270</CharactersWithSpaces>
  <Paragraphs>96</Paragraphs>
  <Company>Мечел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2024-06-11T08:48:00Z</dcterms:created>
  <dc:creator>Валитов А.А.11</dc:creator>
  <dc:description/>
  <dc:language>ru-RU</dc:language>
  <cp:lastModifiedBy/>
  <cp:lastPrinted>2024-07-25T10:26:44Z</cp:lastPrinted>
  <dcterms:modified xsi:type="dcterms:W3CDTF">2024-07-25T10:35:55Z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